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53" w:rsidRPr="005D6202" w:rsidRDefault="00D30053" w:rsidP="00D30053">
      <w:pPr>
        <w:shd w:val="clear" w:color="auto" w:fill="FFFFFF"/>
        <w:rPr>
          <w:rFonts w:eastAsia="Times New Roman" w:cs="Arial"/>
          <w:b/>
          <w:sz w:val="26"/>
          <w:szCs w:val="26"/>
        </w:rPr>
      </w:pPr>
      <w:r w:rsidRPr="005D6202">
        <w:rPr>
          <w:rFonts w:eastAsia="Times New Roman" w:cs="Arial"/>
          <w:b/>
          <w:sz w:val="26"/>
          <w:szCs w:val="26"/>
        </w:rPr>
        <w:t>List of Articles recently published about the ACS/APDS/ASE Resident Prep Curriculum</w:t>
      </w: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Pr="00D30053" w:rsidRDefault="00D82FBE" w:rsidP="00D30053">
      <w:pPr>
        <w:shd w:val="clear" w:color="auto" w:fill="FFFFFF"/>
        <w:rPr>
          <w:rFonts w:ascii="Arial" w:eastAsia="Times New Roman" w:hAnsi="Arial" w:cs="Arial"/>
        </w:rPr>
      </w:pPr>
      <w:hyperlink r:id="rId7" w:history="1"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Statement on surgical </w:t>
        </w:r>
        <w:proofErr w:type="spellStart"/>
        <w:r w:rsidR="00D30053" w:rsidRPr="00D30053">
          <w:rPr>
            <w:rFonts w:ascii="Arial" w:eastAsia="Times New Roman" w:hAnsi="Arial" w:cs="Arial"/>
            <w:color w:val="2222CC"/>
            <w:u w:val="single"/>
          </w:rPr>
          <w:t>preresidency</w:t>
        </w:r>
        <w:proofErr w:type="spellEnd"/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 preparatory courses.</w:t>
        </w:r>
      </w:hyperlink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  <w:r w:rsidRPr="00D30053">
        <w:rPr>
          <w:rFonts w:ascii="Arial" w:eastAsia="Times New Roman" w:hAnsi="Arial" w:cs="Arial"/>
        </w:rPr>
        <w:t>American Board of Surgery; American College of Surgeons; Association of Program Directors in Surgery; Association for Surgical Education.</w:t>
      </w:r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B52406">
        <w:rPr>
          <w:rFonts w:ascii="Arial" w:eastAsia="Times New Roman" w:hAnsi="Arial" w:cs="Arial"/>
          <w:sz w:val="18"/>
          <w:szCs w:val="18"/>
        </w:rPr>
        <w:t xml:space="preserve">J </w:t>
      </w:r>
      <w:proofErr w:type="spellStart"/>
      <w:r w:rsidRPr="00B52406">
        <w:rPr>
          <w:rFonts w:ascii="Arial" w:eastAsia="Times New Roman" w:hAnsi="Arial" w:cs="Arial"/>
          <w:sz w:val="18"/>
          <w:szCs w:val="18"/>
        </w:rPr>
        <w:t>Surg</w:t>
      </w:r>
      <w:proofErr w:type="spellEnd"/>
      <w:r w:rsidRPr="00B52406">
        <w:rPr>
          <w:rFonts w:ascii="Arial" w:eastAsia="Times New Roman" w:hAnsi="Arial" w:cs="Arial"/>
          <w:sz w:val="18"/>
          <w:szCs w:val="18"/>
        </w:rPr>
        <w:t xml:space="preserve"> Educ. 2014</w:t>
      </w:r>
      <w:r w:rsidRPr="00D30053">
        <w:rPr>
          <w:rFonts w:ascii="Arial" w:eastAsia="Times New Roman" w:hAnsi="Arial" w:cs="Arial"/>
          <w:sz w:val="18"/>
          <w:szCs w:val="18"/>
        </w:rPr>
        <w:t xml:space="preserve"> Nov-Dec;71(6):777-8.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>: 10.1016/j.jsurg.2014.05.010.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color w:val="575757"/>
          <w:sz w:val="18"/>
          <w:szCs w:val="18"/>
        </w:rPr>
        <w:t>PMID: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b/>
          <w:bCs/>
          <w:color w:val="575757"/>
          <w:sz w:val="18"/>
          <w:szCs w:val="18"/>
        </w:rPr>
        <w:t>25433961</w:t>
      </w: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Pr="00D30053" w:rsidRDefault="00D82FBE" w:rsidP="00D30053">
      <w:pPr>
        <w:shd w:val="clear" w:color="auto" w:fill="FFFFFF"/>
        <w:rPr>
          <w:rFonts w:ascii="Arial" w:eastAsia="Times New Roman" w:hAnsi="Arial" w:cs="Arial"/>
        </w:rPr>
      </w:pPr>
      <w:hyperlink r:id="rId8" w:history="1"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Statement on surgical </w:t>
        </w:r>
        <w:proofErr w:type="spellStart"/>
        <w:r w:rsidR="00D30053" w:rsidRPr="00D30053">
          <w:rPr>
            <w:rFonts w:ascii="Arial" w:eastAsia="Times New Roman" w:hAnsi="Arial" w:cs="Arial"/>
            <w:color w:val="2222CC"/>
            <w:u w:val="single"/>
          </w:rPr>
          <w:t>preresidency</w:t>
        </w:r>
        <w:proofErr w:type="spellEnd"/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 preparatory courses.</w:t>
        </w:r>
      </w:hyperlink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  <w:r w:rsidRPr="00D30053">
        <w:rPr>
          <w:rFonts w:ascii="Arial" w:eastAsia="Times New Roman" w:hAnsi="Arial" w:cs="Arial"/>
        </w:rPr>
        <w:t>Association of Program Directors in Surgery, American Board of Surgery, American College of Surgeons, Association for Surgical Education.</w:t>
      </w:r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B52406">
        <w:rPr>
          <w:rFonts w:ascii="Arial" w:eastAsia="Times New Roman" w:hAnsi="Arial" w:cs="Arial"/>
          <w:sz w:val="18"/>
          <w:szCs w:val="18"/>
        </w:rPr>
        <w:t>Ann Surg.</w:t>
      </w:r>
      <w:r w:rsidRPr="00D30053">
        <w:rPr>
          <w:rFonts w:ascii="Arial" w:eastAsia="Times New Roman" w:hAnsi="Arial" w:cs="Arial"/>
          <w:sz w:val="18"/>
          <w:szCs w:val="18"/>
        </w:rPr>
        <w:t xml:space="preserve"> 2014 Dec;260(6):969-70.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>: 10.1097/SLA.0000000000001030.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color w:val="575757"/>
          <w:sz w:val="18"/>
          <w:szCs w:val="18"/>
        </w:rPr>
        <w:t>PMID: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b/>
          <w:bCs/>
          <w:color w:val="575757"/>
          <w:sz w:val="18"/>
          <w:szCs w:val="18"/>
        </w:rPr>
        <w:t>25386864</w:t>
      </w: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Pr="00D30053" w:rsidRDefault="00D82FBE" w:rsidP="00D30053">
      <w:pPr>
        <w:shd w:val="clear" w:color="auto" w:fill="FFFFFF"/>
        <w:rPr>
          <w:rFonts w:ascii="Arial" w:eastAsia="Times New Roman" w:hAnsi="Arial" w:cs="Arial"/>
        </w:rPr>
      </w:pPr>
      <w:hyperlink r:id="rId9" w:history="1"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Statement on surgical </w:t>
        </w:r>
        <w:proofErr w:type="spellStart"/>
        <w:r w:rsidR="00D30053" w:rsidRPr="00D30053">
          <w:rPr>
            <w:rFonts w:ascii="Arial" w:eastAsia="Times New Roman" w:hAnsi="Arial" w:cs="Arial"/>
            <w:color w:val="2222CC"/>
            <w:u w:val="single"/>
          </w:rPr>
          <w:t>preresidency</w:t>
        </w:r>
        <w:proofErr w:type="spellEnd"/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 preparatory courses.</w:t>
        </w:r>
      </w:hyperlink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  <w:r w:rsidRPr="00D30053">
        <w:rPr>
          <w:rFonts w:ascii="Arial" w:eastAsia="Times New Roman" w:hAnsi="Arial" w:cs="Arial"/>
        </w:rPr>
        <w:t>American Board of Surgery; American College of Surgeons; Association of Program Directors in Surgery; Association for Surgical Education.</w:t>
      </w:r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B52406">
        <w:rPr>
          <w:rFonts w:ascii="Arial" w:eastAsia="Times New Roman" w:hAnsi="Arial" w:cs="Arial"/>
          <w:sz w:val="18"/>
          <w:szCs w:val="18"/>
        </w:rPr>
        <w:t>Am Surg.</w:t>
      </w:r>
      <w:r w:rsidRPr="00D30053">
        <w:rPr>
          <w:rFonts w:ascii="Arial" w:eastAsia="Times New Roman" w:hAnsi="Arial" w:cs="Arial"/>
          <w:sz w:val="18"/>
          <w:szCs w:val="18"/>
        </w:rPr>
        <w:t xml:space="preserve"> 2014 Nov;80(11):1085-6.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color w:val="575757"/>
          <w:sz w:val="18"/>
          <w:szCs w:val="18"/>
        </w:rPr>
        <w:t>PMID: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b/>
          <w:bCs/>
          <w:color w:val="575757"/>
          <w:sz w:val="18"/>
          <w:szCs w:val="18"/>
        </w:rPr>
        <w:t>25347496</w:t>
      </w: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Pr="00D30053" w:rsidRDefault="00D82FBE" w:rsidP="00D30053">
      <w:pPr>
        <w:shd w:val="clear" w:color="auto" w:fill="FFFFFF"/>
        <w:rPr>
          <w:rFonts w:ascii="Arial" w:eastAsia="Times New Roman" w:hAnsi="Arial" w:cs="Arial"/>
        </w:rPr>
      </w:pPr>
      <w:hyperlink r:id="rId10" w:history="1">
        <w:r w:rsidR="00D30053" w:rsidRPr="00D30053">
          <w:rPr>
            <w:rFonts w:ascii="Arial" w:eastAsia="Times New Roman" w:hAnsi="Arial" w:cs="Arial"/>
            <w:color w:val="2222CC"/>
            <w:u w:val="single"/>
          </w:rPr>
          <w:t>Statement on surgical pre-residency preparatory courses.</w:t>
        </w:r>
      </w:hyperlink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  <w:r w:rsidRPr="00D30053">
        <w:rPr>
          <w:rFonts w:ascii="Arial" w:eastAsia="Times New Roman" w:hAnsi="Arial" w:cs="Arial"/>
        </w:rPr>
        <w:t>American Board of Surgery; American College of Surgeons; Association of Program Directors in Surgery; Association for Surgical Education.</w:t>
      </w:r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B52406">
        <w:rPr>
          <w:rFonts w:ascii="Arial" w:eastAsia="Times New Roman" w:hAnsi="Arial" w:cs="Arial"/>
          <w:sz w:val="18"/>
          <w:szCs w:val="18"/>
        </w:rPr>
        <w:t>World J Surg</w:t>
      </w:r>
      <w:r w:rsidRPr="00D30053">
        <w:rPr>
          <w:rFonts w:ascii="Arial" w:eastAsia="Times New Roman" w:hAnsi="Arial" w:cs="Arial"/>
          <w:sz w:val="18"/>
          <w:szCs w:val="18"/>
        </w:rPr>
        <w:t xml:space="preserve">. 2014 Nov;38(11):2743-5.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 xml:space="preserve">: 10.1007/s00268-014-2749-y. No abstract available. 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color w:val="575757"/>
          <w:sz w:val="18"/>
          <w:szCs w:val="18"/>
        </w:rPr>
        <w:t>PMID: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b/>
          <w:bCs/>
          <w:color w:val="575757"/>
          <w:sz w:val="18"/>
          <w:szCs w:val="18"/>
        </w:rPr>
        <w:t>25288032</w:t>
      </w: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Pr="00D30053" w:rsidRDefault="00D82FBE" w:rsidP="00D30053">
      <w:pPr>
        <w:shd w:val="clear" w:color="auto" w:fill="FFFFFF"/>
        <w:rPr>
          <w:rFonts w:ascii="Arial" w:eastAsia="Times New Roman" w:hAnsi="Arial" w:cs="Arial"/>
        </w:rPr>
      </w:pPr>
      <w:hyperlink r:id="rId11" w:history="1"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Statement on surgical </w:t>
        </w:r>
        <w:proofErr w:type="spellStart"/>
        <w:r w:rsidR="00D30053" w:rsidRPr="00D30053">
          <w:rPr>
            <w:rFonts w:ascii="Arial" w:eastAsia="Times New Roman" w:hAnsi="Arial" w:cs="Arial"/>
            <w:color w:val="2222CC"/>
            <w:u w:val="single"/>
          </w:rPr>
          <w:t>preresidency</w:t>
        </w:r>
        <w:proofErr w:type="spellEnd"/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 preparatory courses.</w:t>
        </w:r>
      </w:hyperlink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  <w:r w:rsidRPr="00D30053">
        <w:rPr>
          <w:rFonts w:ascii="Arial" w:eastAsia="Times New Roman" w:hAnsi="Arial" w:cs="Arial"/>
        </w:rPr>
        <w:t>American Board of Surgery; American College of Surgeons; Association of Program Directors in Surgery; Association for Surgical Education.</w:t>
      </w:r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B52406">
        <w:rPr>
          <w:rFonts w:ascii="Arial" w:eastAsia="Times New Roman" w:hAnsi="Arial" w:cs="Arial"/>
          <w:sz w:val="18"/>
          <w:szCs w:val="18"/>
        </w:rPr>
        <w:t>Am J Surg</w:t>
      </w:r>
      <w:r w:rsidRPr="00D30053">
        <w:rPr>
          <w:rFonts w:ascii="Arial" w:eastAsia="Times New Roman" w:hAnsi="Arial" w:cs="Arial"/>
          <w:sz w:val="18"/>
          <w:szCs w:val="18"/>
        </w:rPr>
        <w:t xml:space="preserve">. 2014 Nov;208(5):695-6.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 xml:space="preserve">: 10.1016/j.amjsurg.2014.06.030.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Epub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 xml:space="preserve"> 2014 Oct 1.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color w:val="575757"/>
          <w:sz w:val="18"/>
          <w:szCs w:val="18"/>
        </w:rPr>
        <w:t>PMID: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b/>
          <w:bCs/>
          <w:color w:val="575757"/>
          <w:sz w:val="18"/>
          <w:szCs w:val="18"/>
        </w:rPr>
        <w:t>25282683</w:t>
      </w: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Pr="00D30053" w:rsidRDefault="00D82FBE" w:rsidP="00D30053">
      <w:pPr>
        <w:shd w:val="clear" w:color="auto" w:fill="FFFFFF"/>
        <w:rPr>
          <w:rFonts w:ascii="Arial" w:eastAsia="Times New Roman" w:hAnsi="Arial" w:cs="Arial"/>
        </w:rPr>
      </w:pPr>
      <w:hyperlink r:id="rId12" w:history="1"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Statement on surgical </w:t>
        </w:r>
        <w:proofErr w:type="spellStart"/>
        <w:r w:rsidR="00D30053" w:rsidRPr="00D30053">
          <w:rPr>
            <w:rFonts w:ascii="Arial" w:eastAsia="Times New Roman" w:hAnsi="Arial" w:cs="Arial"/>
            <w:color w:val="2222CC"/>
            <w:u w:val="single"/>
          </w:rPr>
          <w:t>preresidency</w:t>
        </w:r>
        <w:proofErr w:type="spellEnd"/>
        <w:r w:rsidR="00D30053" w:rsidRPr="00D30053">
          <w:rPr>
            <w:rFonts w:ascii="Arial" w:eastAsia="Times New Roman" w:hAnsi="Arial" w:cs="Arial"/>
            <w:color w:val="2222CC"/>
            <w:u w:val="single"/>
          </w:rPr>
          <w:t xml:space="preserve"> preparatory courses.</w:t>
        </w:r>
      </w:hyperlink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  <w:r w:rsidRPr="00D30053">
        <w:rPr>
          <w:rFonts w:ascii="Arial" w:eastAsia="Times New Roman" w:hAnsi="Arial" w:cs="Arial"/>
        </w:rPr>
        <w:t>American Board of Surgery; American College of Surgeons; Association of Program Directors in Surgery; Association for Surgical Education.</w:t>
      </w:r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B52406">
        <w:rPr>
          <w:rFonts w:ascii="Arial" w:eastAsia="Times New Roman" w:hAnsi="Arial" w:cs="Arial"/>
          <w:sz w:val="18"/>
          <w:szCs w:val="18"/>
        </w:rPr>
        <w:t>Surgery. 2014</w:t>
      </w:r>
      <w:r w:rsidRPr="00D30053">
        <w:rPr>
          <w:rFonts w:ascii="Arial" w:eastAsia="Times New Roman" w:hAnsi="Arial" w:cs="Arial"/>
          <w:sz w:val="18"/>
          <w:szCs w:val="18"/>
        </w:rPr>
        <w:t xml:space="preserve"> Nov;156(5):1059-60.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 xml:space="preserve">: 10.1016/j.surg.2014.06.001.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Epub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 xml:space="preserve"> 2014 Oct 1. No abstract available. 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color w:val="575757"/>
          <w:sz w:val="18"/>
          <w:szCs w:val="18"/>
        </w:rPr>
        <w:t>PMID: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b/>
          <w:bCs/>
          <w:color w:val="575757"/>
          <w:sz w:val="18"/>
          <w:szCs w:val="18"/>
        </w:rPr>
        <w:t>25282527</w:t>
      </w: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Pr="00D30053" w:rsidRDefault="00D82FBE" w:rsidP="00D30053">
      <w:pPr>
        <w:shd w:val="clear" w:color="auto" w:fill="FFFFFF"/>
        <w:rPr>
          <w:rFonts w:ascii="Arial" w:eastAsia="Times New Roman" w:hAnsi="Arial" w:cs="Arial"/>
        </w:rPr>
      </w:pPr>
      <w:hyperlink r:id="rId13" w:history="1">
        <w:r w:rsidR="00D30053" w:rsidRPr="00D30053">
          <w:rPr>
            <w:rFonts w:ascii="Arial" w:eastAsia="Times New Roman" w:hAnsi="Arial" w:cs="Arial"/>
            <w:color w:val="2222CC"/>
            <w:u w:val="single"/>
          </w:rPr>
          <w:t>Statement on surgical pre-residency preparatory courses.</w:t>
        </w:r>
      </w:hyperlink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  <w:r w:rsidRPr="00D30053">
        <w:rPr>
          <w:rFonts w:ascii="Arial" w:eastAsia="Times New Roman" w:hAnsi="Arial" w:cs="Arial"/>
        </w:rPr>
        <w:t>American Board of Surgery; American College of Surgeons; Association of Program Directors in Surgery; Association for Surgical Education.</w:t>
      </w:r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B52406">
        <w:rPr>
          <w:rFonts w:ascii="Arial" w:eastAsia="Times New Roman" w:hAnsi="Arial" w:cs="Arial"/>
          <w:sz w:val="18"/>
          <w:szCs w:val="18"/>
        </w:rPr>
        <w:t>J Am Coll Surg. 2014</w:t>
      </w:r>
      <w:r w:rsidRPr="00D30053">
        <w:rPr>
          <w:rFonts w:ascii="Arial" w:eastAsia="Times New Roman" w:hAnsi="Arial" w:cs="Arial"/>
          <w:sz w:val="18"/>
          <w:szCs w:val="18"/>
        </w:rPr>
        <w:t xml:space="preserve"> Nov;219(5):851-2.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 xml:space="preserve">: 10.1016/j.jamcollsurg.2014.06.002.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Epub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 xml:space="preserve"> 2014 Oct 1. No abstract available. 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color w:val="575757"/>
          <w:sz w:val="18"/>
          <w:szCs w:val="18"/>
        </w:rPr>
        <w:t>PMID: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b/>
          <w:bCs/>
          <w:color w:val="575757"/>
          <w:sz w:val="18"/>
          <w:szCs w:val="18"/>
        </w:rPr>
        <w:t>25282325</w:t>
      </w: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</w:p>
    <w:p w:rsidR="00D30053" w:rsidRPr="00D30053" w:rsidRDefault="00D82FBE" w:rsidP="00D30053">
      <w:pPr>
        <w:shd w:val="clear" w:color="auto" w:fill="FFFFFF"/>
        <w:rPr>
          <w:rFonts w:ascii="Arial" w:eastAsia="Times New Roman" w:hAnsi="Arial" w:cs="Arial"/>
        </w:rPr>
      </w:pPr>
      <w:hyperlink r:id="rId14" w:history="1">
        <w:r w:rsidR="00D30053" w:rsidRPr="00D30053">
          <w:rPr>
            <w:rFonts w:ascii="Arial" w:eastAsia="Times New Roman" w:hAnsi="Arial" w:cs="Arial"/>
            <w:color w:val="2222CC"/>
            <w:u w:val="single"/>
          </w:rPr>
          <w:t>Statement on surgical pre-residency preparatory courses.</w:t>
        </w:r>
      </w:hyperlink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</w:rPr>
      </w:pPr>
      <w:r w:rsidRPr="00D30053">
        <w:rPr>
          <w:rFonts w:ascii="Arial" w:eastAsia="Times New Roman" w:hAnsi="Arial" w:cs="Arial"/>
        </w:rPr>
        <w:t>American Board of Surgery; American College of Surgeons; Association of Program Directors in Surgery; Association for Surgical Education.</w:t>
      </w:r>
    </w:p>
    <w:p w:rsidR="00D30053" w:rsidRPr="00D30053" w:rsidRDefault="00D30053" w:rsidP="00D30053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B52406">
        <w:rPr>
          <w:rFonts w:ascii="Arial" w:eastAsia="Times New Roman" w:hAnsi="Arial" w:cs="Arial"/>
          <w:sz w:val="18"/>
          <w:szCs w:val="18"/>
        </w:rPr>
        <w:t>JAMA Surg. 2014</w:t>
      </w:r>
      <w:r w:rsidRPr="00D30053">
        <w:rPr>
          <w:rFonts w:ascii="Arial" w:eastAsia="Times New Roman" w:hAnsi="Arial" w:cs="Arial"/>
          <w:sz w:val="18"/>
          <w:szCs w:val="18"/>
        </w:rPr>
        <w:t xml:space="preserve"> Nov;149(11):1198-9. </w:t>
      </w:r>
      <w:proofErr w:type="spellStart"/>
      <w:r w:rsidRPr="00D30053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D30053">
        <w:rPr>
          <w:rFonts w:ascii="Arial" w:eastAsia="Times New Roman" w:hAnsi="Arial" w:cs="Arial"/>
          <w:sz w:val="18"/>
          <w:szCs w:val="18"/>
        </w:rPr>
        <w:t xml:space="preserve">: 10.1001/jamasurg.2014.2419. No abstract available. 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color w:val="575757"/>
          <w:sz w:val="18"/>
          <w:szCs w:val="18"/>
        </w:rPr>
        <w:t>PMID:</w:t>
      </w:r>
    </w:p>
    <w:p w:rsidR="00D30053" w:rsidRPr="00D30053" w:rsidRDefault="00D30053" w:rsidP="00D30053">
      <w:pPr>
        <w:shd w:val="clear" w:color="auto" w:fill="FFFFFF"/>
        <w:spacing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D30053">
        <w:rPr>
          <w:rFonts w:ascii="Arial" w:eastAsia="Times New Roman" w:hAnsi="Arial" w:cs="Arial"/>
          <w:b/>
          <w:bCs/>
          <w:color w:val="575757"/>
          <w:sz w:val="18"/>
          <w:szCs w:val="18"/>
        </w:rPr>
        <w:t>25272290</w:t>
      </w:r>
    </w:p>
    <w:p w:rsidR="004D0FB7" w:rsidRDefault="004D0FB7" w:rsidP="004D0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4D0FB7" w:rsidRDefault="004D0FB7" w:rsidP="004D0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4D0FB7" w:rsidRPr="00A600A4" w:rsidRDefault="00D82FBE" w:rsidP="004D0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222CC"/>
          <w:u w:val="single"/>
        </w:rPr>
      </w:pPr>
      <w:hyperlink r:id="rId15" w:history="1">
        <w:r w:rsidR="004D0FB7" w:rsidRPr="00D82FBE">
          <w:rPr>
            <w:rFonts w:ascii="Arial" w:eastAsia="Times New Roman" w:hAnsi="Arial" w:cs="Arial"/>
            <w:color w:val="2222CC"/>
            <w:u w:val="single"/>
          </w:rPr>
          <w:t>Transition to Surgical Residency: A Multi-Institutional Study of Perceived Intern Preparedness and the Effect of a Formal Residency Preparatory Course in the Fourth Year of Medical School</w:t>
        </w:r>
      </w:hyperlink>
    </w:p>
    <w:p w:rsidR="00AE636A" w:rsidRPr="00393655" w:rsidRDefault="00AE636A" w:rsidP="00AE636A">
      <w:pPr>
        <w:shd w:val="clear" w:color="auto" w:fill="FFFFFF"/>
        <w:rPr>
          <w:rFonts w:ascii="Arial" w:eastAsia="Times New Roman" w:hAnsi="Arial" w:cs="Arial"/>
        </w:rPr>
      </w:pPr>
      <w:r w:rsidRPr="00393655">
        <w:rPr>
          <w:rFonts w:ascii="Arial" w:eastAsia="Times New Roman" w:hAnsi="Arial" w:cs="Arial"/>
        </w:rPr>
        <w:t xml:space="preserve">Minter RM, Amos KD, Bentz ML, Blair PG, Brandt C, D'Cunha J, Davis E, Delman KA, Deutsch ES, Divino C, Kingsley D, Klingensmith M, </w:t>
      </w:r>
      <w:proofErr w:type="spellStart"/>
      <w:r w:rsidRPr="00393655">
        <w:rPr>
          <w:rFonts w:ascii="Arial" w:eastAsia="Times New Roman" w:hAnsi="Arial" w:cs="Arial"/>
        </w:rPr>
        <w:t>Meterissian</w:t>
      </w:r>
      <w:proofErr w:type="spellEnd"/>
      <w:r w:rsidRPr="00393655">
        <w:rPr>
          <w:rFonts w:ascii="Arial" w:eastAsia="Times New Roman" w:hAnsi="Arial" w:cs="Arial"/>
        </w:rPr>
        <w:t xml:space="preserve"> S, Sachdeva AK, Terhune K, </w:t>
      </w:r>
      <w:proofErr w:type="spellStart"/>
      <w:r w:rsidRPr="00393655">
        <w:rPr>
          <w:rFonts w:ascii="Arial" w:eastAsia="Times New Roman" w:hAnsi="Arial" w:cs="Arial"/>
        </w:rPr>
        <w:t>Termuhlen</w:t>
      </w:r>
      <w:proofErr w:type="spellEnd"/>
      <w:r w:rsidRPr="00393655">
        <w:rPr>
          <w:rFonts w:ascii="Arial" w:eastAsia="Times New Roman" w:hAnsi="Arial" w:cs="Arial"/>
        </w:rPr>
        <w:t xml:space="preserve"> PM, </w:t>
      </w:r>
      <w:proofErr w:type="spellStart"/>
      <w:r w:rsidRPr="00393655">
        <w:rPr>
          <w:rFonts w:ascii="Arial" w:eastAsia="Times New Roman" w:hAnsi="Arial" w:cs="Arial"/>
        </w:rPr>
        <w:t>Mullan</w:t>
      </w:r>
      <w:proofErr w:type="spellEnd"/>
      <w:r w:rsidRPr="00393655">
        <w:rPr>
          <w:rFonts w:ascii="Arial" w:eastAsia="Times New Roman" w:hAnsi="Arial" w:cs="Arial"/>
        </w:rPr>
        <w:t xml:space="preserve"> PB.</w:t>
      </w:r>
    </w:p>
    <w:p w:rsidR="00AE636A" w:rsidRPr="00393655" w:rsidRDefault="00AE636A" w:rsidP="00AE636A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 w:rsidRPr="00393655">
        <w:rPr>
          <w:rFonts w:ascii="Arial" w:eastAsia="Times New Roman" w:hAnsi="Arial" w:cs="Arial"/>
          <w:sz w:val="18"/>
          <w:szCs w:val="18"/>
        </w:rPr>
        <w:t>Acad</w:t>
      </w:r>
      <w:proofErr w:type="spellEnd"/>
      <w:r w:rsidRPr="00393655">
        <w:rPr>
          <w:rFonts w:ascii="Arial" w:eastAsia="Times New Roman" w:hAnsi="Arial" w:cs="Arial"/>
          <w:sz w:val="18"/>
          <w:szCs w:val="18"/>
        </w:rPr>
        <w:t xml:space="preserve"> Med. 2015 Mar 17.</w:t>
      </w:r>
      <w:proofErr w:type="gramEnd"/>
      <w:r w:rsidRPr="00393655"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 w:rsidRPr="00393655">
        <w:rPr>
          <w:rFonts w:ascii="Arial" w:eastAsia="Times New Roman" w:hAnsi="Arial" w:cs="Arial"/>
          <w:sz w:val="18"/>
          <w:szCs w:val="18"/>
        </w:rPr>
        <w:t>Epub</w:t>
      </w:r>
      <w:proofErr w:type="spellEnd"/>
      <w:r w:rsidRPr="00393655">
        <w:rPr>
          <w:rFonts w:ascii="Arial" w:eastAsia="Times New Roman" w:hAnsi="Arial" w:cs="Arial"/>
          <w:sz w:val="18"/>
          <w:szCs w:val="18"/>
        </w:rPr>
        <w:t xml:space="preserve"> ahead of print]</w:t>
      </w:r>
    </w:p>
    <w:p w:rsidR="00AE636A" w:rsidRPr="00AE636A" w:rsidRDefault="00AE636A" w:rsidP="00AE636A">
      <w:pPr>
        <w:shd w:val="clear" w:color="auto" w:fill="FFFFFF"/>
        <w:spacing w:line="336" w:lineRule="atLeast"/>
        <w:ind w:left="120" w:right="227"/>
        <w:rPr>
          <w:rFonts w:ascii="Arial" w:eastAsia="Times New Roman" w:hAnsi="Arial" w:cs="Arial"/>
          <w:color w:val="575757"/>
          <w:sz w:val="18"/>
          <w:szCs w:val="18"/>
        </w:rPr>
      </w:pPr>
      <w:r w:rsidRPr="00AE636A">
        <w:rPr>
          <w:rFonts w:ascii="Arial" w:eastAsia="Times New Roman" w:hAnsi="Arial" w:cs="Arial"/>
          <w:color w:val="575757"/>
          <w:sz w:val="18"/>
          <w:szCs w:val="18"/>
        </w:rPr>
        <w:t>PMID:</w:t>
      </w:r>
    </w:p>
    <w:p w:rsidR="00AE636A" w:rsidRPr="00A600A4" w:rsidRDefault="00AE636A" w:rsidP="00A600A4">
      <w:pPr>
        <w:shd w:val="clear" w:color="auto" w:fill="FFFFFF"/>
        <w:spacing w:line="336" w:lineRule="atLeast"/>
        <w:ind w:left="720" w:right="227" w:firstLine="450"/>
        <w:rPr>
          <w:rFonts w:ascii="Arial" w:eastAsia="Times New Roman" w:hAnsi="Arial" w:cs="Arial"/>
          <w:b/>
          <w:color w:val="575757"/>
          <w:sz w:val="18"/>
          <w:szCs w:val="18"/>
        </w:rPr>
      </w:pPr>
      <w:r w:rsidRPr="00A600A4">
        <w:rPr>
          <w:rFonts w:ascii="Arial" w:eastAsia="Times New Roman" w:hAnsi="Arial" w:cs="Arial"/>
          <w:b/>
          <w:color w:val="575757"/>
          <w:sz w:val="18"/>
          <w:szCs w:val="18"/>
        </w:rPr>
        <w:t>25785673</w:t>
      </w:r>
      <w:bookmarkStart w:id="0" w:name="_GoBack"/>
      <w:bookmarkEnd w:id="0"/>
    </w:p>
    <w:p w:rsidR="00AE636A" w:rsidRPr="004D0FB7" w:rsidRDefault="00AE636A" w:rsidP="00AE636A">
      <w:pPr>
        <w:shd w:val="clear" w:color="auto" w:fill="FFFFFF"/>
        <w:spacing w:line="336" w:lineRule="atLeast"/>
        <w:ind w:right="227"/>
        <w:rPr>
          <w:rFonts w:ascii="Arial" w:eastAsia="Times New Roman" w:hAnsi="Arial" w:cs="Arial"/>
          <w:b/>
          <w:bCs/>
          <w:color w:val="575757"/>
          <w:sz w:val="18"/>
          <w:szCs w:val="18"/>
        </w:rPr>
      </w:pPr>
    </w:p>
    <w:p w:rsidR="00AB5BFA" w:rsidRDefault="004248FA">
      <w:r>
        <w:t xml:space="preserve">                                                       </w:t>
      </w:r>
    </w:p>
    <w:sectPr w:rsidR="00AB5BFA" w:rsidSect="005D6202"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EF" w:rsidRDefault="006B68EF" w:rsidP="005D6202">
      <w:r>
        <w:separator/>
      </w:r>
    </w:p>
  </w:endnote>
  <w:endnote w:type="continuationSeparator" w:id="0">
    <w:p w:rsidR="006B68EF" w:rsidRDefault="006B68EF" w:rsidP="005D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02" w:rsidRPr="005D6202" w:rsidRDefault="005D6202">
    <w:pPr>
      <w:pStyle w:val="Footer"/>
      <w:rPr>
        <w:sz w:val="16"/>
        <w:szCs w:val="16"/>
      </w:rPr>
    </w:pPr>
    <w:r w:rsidRPr="005D6202">
      <w:rPr>
        <w:sz w:val="16"/>
        <w:szCs w:val="16"/>
      </w:rPr>
      <w:t>ACS/APDS/ASE Resident Prep Curriculum</w:t>
    </w:r>
    <w:r w:rsidRPr="005D6202">
      <w:rPr>
        <w:sz w:val="16"/>
        <w:szCs w:val="16"/>
      </w:rPr>
      <w:tab/>
    </w:r>
    <w:r w:rsidRPr="005D6202">
      <w:rPr>
        <w:sz w:val="16"/>
        <w:szCs w:val="16"/>
      </w:rPr>
      <w:tab/>
      <w:t>January 2015</w:t>
    </w:r>
    <w:r w:rsidRPr="005D6202">
      <w:rPr>
        <w:sz w:val="16"/>
        <w:szCs w:val="16"/>
      </w:rPr>
      <w:tab/>
    </w:r>
    <w:r w:rsidRPr="005D6202">
      <w:rPr>
        <w:sz w:val="16"/>
        <w:szCs w:val="16"/>
      </w:rPr>
      <w:tab/>
    </w:r>
  </w:p>
  <w:p w:rsidR="005D6202" w:rsidRDefault="005D6202">
    <w:pPr>
      <w:pStyle w:val="Footer"/>
    </w:pPr>
    <w:r w:rsidRPr="005D6202">
      <w:rPr>
        <w:sz w:val="16"/>
        <w:szCs w:val="16"/>
      </w:rPr>
      <w:t xml:space="preserve">List of </w:t>
    </w:r>
    <w:r>
      <w:rPr>
        <w:sz w:val="16"/>
        <w:szCs w:val="16"/>
      </w:rPr>
      <w:t xml:space="preserve">Recent Articles </w:t>
    </w:r>
    <w:r w:rsidRPr="005D6202">
      <w:rPr>
        <w:sz w:val="16"/>
        <w:szCs w:val="16"/>
      </w:rPr>
      <w:t xml:space="preserve">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Pr="005D6202">
      <w:rPr>
        <w:sz w:val="16"/>
        <w:szCs w:val="16"/>
      </w:rPr>
      <w:t xml:space="preserve">Page </w:t>
    </w:r>
    <w:r w:rsidRPr="005D6202">
      <w:rPr>
        <w:sz w:val="16"/>
        <w:szCs w:val="16"/>
      </w:rPr>
      <w:fldChar w:fldCharType="begin"/>
    </w:r>
    <w:r w:rsidRPr="005D6202">
      <w:rPr>
        <w:sz w:val="16"/>
        <w:szCs w:val="16"/>
      </w:rPr>
      <w:instrText xml:space="preserve"> PAGE   \* MERGEFORMAT </w:instrText>
    </w:r>
    <w:r w:rsidRPr="005D6202">
      <w:rPr>
        <w:sz w:val="16"/>
        <w:szCs w:val="16"/>
      </w:rPr>
      <w:fldChar w:fldCharType="separate"/>
    </w:r>
    <w:r w:rsidR="00D82FBE">
      <w:rPr>
        <w:noProof/>
        <w:sz w:val="16"/>
        <w:szCs w:val="16"/>
      </w:rPr>
      <w:t>2</w:t>
    </w:r>
    <w:r w:rsidRPr="005D6202">
      <w:rPr>
        <w:sz w:val="16"/>
        <w:szCs w:val="16"/>
      </w:rPr>
      <w:fldChar w:fldCharType="end"/>
    </w:r>
    <w:r w:rsidRPr="005D6202">
      <w:rPr>
        <w:sz w:val="16"/>
        <w:szCs w:val="16"/>
      </w:rPr>
      <w:t xml:space="preserve"> of 2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EF" w:rsidRDefault="006B68EF" w:rsidP="005D6202">
      <w:r>
        <w:separator/>
      </w:r>
    </w:p>
  </w:footnote>
  <w:footnote w:type="continuationSeparator" w:id="0">
    <w:p w:rsidR="006B68EF" w:rsidRDefault="006B68EF" w:rsidP="005D6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53"/>
    <w:rsid w:val="000E4B20"/>
    <w:rsid w:val="00151D46"/>
    <w:rsid w:val="00184913"/>
    <w:rsid w:val="00393655"/>
    <w:rsid w:val="004248FA"/>
    <w:rsid w:val="00495CC0"/>
    <w:rsid w:val="004D0FB7"/>
    <w:rsid w:val="005D6202"/>
    <w:rsid w:val="006B68EF"/>
    <w:rsid w:val="006E2CEA"/>
    <w:rsid w:val="00A600A4"/>
    <w:rsid w:val="00AB5BFA"/>
    <w:rsid w:val="00AE636A"/>
    <w:rsid w:val="00B369E9"/>
    <w:rsid w:val="00B52406"/>
    <w:rsid w:val="00C612DB"/>
    <w:rsid w:val="00D30053"/>
    <w:rsid w:val="00D82FBE"/>
    <w:rsid w:val="00F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13"/>
  </w:style>
  <w:style w:type="paragraph" w:styleId="Heading1">
    <w:name w:val="heading 1"/>
    <w:basedOn w:val="Normal"/>
    <w:link w:val="Heading1Char"/>
    <w:uiPriority w:val="9"/>
    <w:qFormat/>
    <w:rsid w:val="001849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30053"/>
    <w:pPr>
      <w:spacing w:before="270" w:after="135"/>
      <w:outlineLvl w:val="1"/>
    </w:pPr>
    <w:rPr>
      <w:rFonts w:ascii="Times New Roman" w:eastAsia="Times New Roman" w:hAnsi="Times New Roman" w:cs="Times New Roman"/>
      <w:b/>
      <w:bCs/>
      <w:color w:val="985735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9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184913"/>
  </w:style>
  <w:style w:type="paragraph" w:styleId="ListParagraph">
    <w:name w:val="List Paragraph"/>
    <w:basedOn w:val="Normal"/>
    <w:uiPriority w:val="34"/>
    <w:qFormat/>
    <w:rsid w:val="00184913"/>
    <w:pPr>
      <w:ind w:left="720"/>
      <w:contextualSpacing/>
    </w:pPr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0053"/>
    <w:rPr>
      <w:rFonts w:ascii="Times New Roman" w:eastAsia="Times New Roman" w:hAnsi="Times New Roman" w:cs="Times New Roman"/>
      <w:b/>
      <w:bCs/>
      <w:color w:val="985735"/>
      <w:sz w:val="30"/>
      <w:szCs w:val="30"/>
    </w:rPr>
  </w:style>
  <w:style w:type="paragraph" w:customStyle="1" w:styleId="title1">
    <w:name w:val="title1"/>
    <w:basedOn w:val="Normal"/>
    <w:rsid w:val="00D30053"/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D30053"/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D30053"/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D30053"/>
  </w:style>
  <w:style w:type="paragraph" w:styleId="Header">
    <w:name w:val="header"/>
    <w:basedOn w:val="Normal"/>
    <w:link w:val="HeaderChar"/>
    <w:uiPriority w:val="99"/>
    <w:unhideWhenUsed/>
    <w:rsid w:val="005D6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202"/>
  </w:style>
  <w:style w:type="paragraph" w:styleId="Footer">
    <w:name w:val="footer"/>
    <w:basedOn w:val="Normal"/>
    <w:link w:val="FooterChar"/>
    <w:uiPriority w:val="99"/>
    <w:unhideWhenUsed/>
    <w:rsid w:val="005D6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02"/>
  </w:style>
  <w:style w:type="paragraph" w:styleId="BalloonText">
    <w:name w:val="Balloon Text"/>
    <w:basedOn w:val="Normal"/>
    <w:link w:val="BalloonTextChar"/>
    <w:uiPriority w:val="99"/>
    <w:semiHidden/>
    <w:unhideWhenUsed/>
    <w:rsid w:val="005D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0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0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0FB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0F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6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36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12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13"/>
  </w:style>
  <w:style w:type="paragraph" w:styleId="Heading1">
    <w:name w:val="heading 1"/>
    <w:basedOn w:val="Normal"/>
    <w:link w:val="Heading1Char"/>
    <w:uiPriority w:val="9"/>
    <w:qFormat/>
    <w:rsid w:val="001849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30053"/>
    <w:pPr>
      <w:spacing w:before="270" w:after="135"/>
      <w:outlineLvl w:val="1"/>
    </w:pPr>
    <w:rPr>
      <w:rFonts w:ascii="Times New Roman" w:eastAsia="Times New Roman" w:hAnsi="Times New Roman" w:cs="Times New Roman"/>
      <w:b/>
      <w:bCs/>
      <w:color w:val="985735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9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184913"/>
  </w:style>
  <w:style w:type="paragraph" w:styleId="ListParagraph">
    <w:name w:val="List Paragraph"/>
    <w:basedOn w:val="Normal"/>
    <w:uiPriority w:val="34"/>
    <w:qFormat/>
    <w:rsid w:val="00184913"/>
    <w:pPr>
      <w:ind w:left="720"/>
      <w:contextualSpacing/>
    </w:pPr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0053"/>
    <w:rPr>
      <w:rFonts w:ascii="Times New Roman" w:eastAsia="Times New Roman" w:hAnsi="Times New Roman" w:cs="Times New Roman"/>
      <w:b/>
      <w:bCs/>
      <w:color w:val="985735"/>
      <w:sz w:val="30"/>
      <w:szCs w:val="30"/>
    </w:rPr>
  </w:style>
  <w:style w:type="paragraph" w:customStyle="1" w:styleId="title1">
    <w:name w:val="title1"/>
    <w:basedOn w:val="Normal"/>
    <w:rsid w:val="00D30053"/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D30053"/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D30053"/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D30053"/>
  </w:style>
  <w:style w:type="paragraph" w:styleId="Header">
    <w:name w:val="header"/>
    <w:basedOn w:val="Normal"/>
    <w:link w:val="HeaderChar"/>
    <w:uiPriority w:val="99"/>
    <w:unhideWhenUsed/>
    <w:rsid w:val="005D6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202"/>
  </w:style>
  <w:style w:type="paragraph" w:styleId="Footer">
    <w:name w:val="footer"/>
    <w:basedOn w:val="Normal"/>
    <w:link w:val="FooterChar"/>
    <w:uiPriority w:val="99"/>
    <w:unhideWhenUsed/>
    <w:rsid w:val="005D6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02"/>
  </w:style>
  <w:style w:type="paragraph" w:styleId="BalloonText">
    <w:name w:val="Balloon Text"/>
    <w:basedOn w:val="Normal"/>
    <w:link w:val="BalloonTextChar"/>
    <w:uiPriority w:val="99"/>
    <w:semiHidden/>
    <w:unhideWhenUsed/>
    <w:rsid w:val="005D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0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0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0FB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0F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6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36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1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7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22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76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41900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1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5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3385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1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675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7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550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2207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6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088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1496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66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5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8546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1607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53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9739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762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49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0716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533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756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9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9609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151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294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0678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70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9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90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2408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7018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7944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82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5386864" TargetMode="External"/><Relationship Id="rId13" Type="http://schemas.openxmlformats.org/officeDocument/2006/relationships/hyperlink" Target="http://www.ncbi.nlm.nih.gov/pubmed/252823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5433961" TargetMode="External"/><Relationship Id="rId12" Type="http://schemas.openxmlformats.org/officeDocument/2006/relationships/hyperlink" Target="http://www.ncbi.nlm.nih.gov/pubmed/2528252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52826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5785673" TargetMode="External"/><Relationship Id="rId10" Type="http://schemas.openxmlformats.org/officeDocument/2006/relationships/hyperlink" Target="http://www.ncbi.nlm.nih.gov/pubmed/25288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5347496" TargetMode="External"/><Relationship Id="rId14" Type="http://schemas.openxmlformats.org/officeDocument/2006/relationships/hyperlink" Target="http://www.ncbi.nlm.nih.gov/pubmed/25272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2015-06-02T20:58:00Z</dcterms:created>
  <dcterms:modified xsi:type="dcterms:W3CDTF">2015-06-02T20:59:00Z</dcterms:modified>
</cp:coreProperties>
</file>